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B" w:rsidRPr="0000660F" w:rsidRDefault="00532C8E">
      <w:pPr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GB"/>
        </w:rPr>
        <w:t>ANNEX GEN</w:t>
      </w:r>
      <w:r w:rsidR="00EF48E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D3897">
        <w:rPr>
          <w:rFonts w:ascii="Arial" w:hAnsi="Arial" w:cs="Arial"/>
          <w:b/>
          <w:sz w:val="28"/>
          <w:szCs w:val="28"/>
          <w:lang w:val="en-GB"/>
        </w:rPr>
        <w:t>15-1</w:t>
      </w:r>
      <w:r w:rsidR="00EF48E4" w:rsidRPr="0000660F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00660F" w:rsidRPr="0000660F">
        <w:rPr>
          <w:rFonts w:ascii="Arial" w:hAnsi="Arial" w:cs="Arial"/>
          <w:b/>
          <w:sz w:val="28"/>
          <w:szCs w:val="28"/>
          <w:lang w:val="en-GB"/>
        </w:rPr>
        <w:t xml:space="preserve">Tender </w:t>
      </w:r>
      <w:r w:rsidR="00F22547">
        <w:rPr>
          <w:rFonts w:ascii="Arial" w:hAnsi="Arial" w:cs="Arial"/>
          <w:b/>
          <w:sz w:val="28"/>
          <w:szCs w:val="28"/>
          <w:lang w:val="en-GB"/>
        </w:rPr>
        <w:t>O</w:t>
      </w:r>
      <w:r w:rsidR="0000660F" w:rsidRPr="0000660F">
        <w:rPr>
          <w:rFonts w:ascii="Arial" w:hAnsi="Arial" w:cs="Arial"/>
          <w:b/>
          <w:sz w:val="28"/>
          <w:szCs w:val="28"/>
          <w:lang w:val="en-GB"/>
        </w:rPr>
        <w:t xml:space="preserve">pening </w:t>
      </w:r>
      <w:r w:rsidR="00F22547">
        <w:rPr>
          <w:rFonts w:ascii="Arial" w:hAnsi="Arial" w:cs="Arial"/>
          <w:b/>
          <w:sz w:val="28"/>
          <w:szCs w:val="28"/>
          <w:lang w:val="en-GB"/>
        </w:rPr>
        <w:t>C</w:t>
      </w:r>
      <w:r w:rsidR="0000660F" w:rsidRPr="0000660F">
        <w:rPr>
          <w:rFonts w:ascii="Arial" w:hAnsi="Arial" w:cs="Arial"/>
          <w:b/>
          <w:sz w:val="28"/>
          <w:szCs w:val="28"/>
          <w:lang w:val="en-GB"/>
        </w:rPr>
        <w:t>hecklist</w:t>
      </w:r>
    </w:p>
    <w:p w:rsidR="0000660F" w:rsidRPr="0000660F" w:rsidRDefault="0000660F">
      <w:pPr>
        <w:rPr>
          <w:rFonts w:ascii="Arial" w:hAnsi="Arial" w:cs="Arial"/>
          <w:lang w:val="en-GB"/>
        </w:rPr>
      </w:pPr>
    </w:p>
    <w:p w:rsidR="0000660F" w:rsidRPr="0000660F" w:rsidRDefault="0000660F">
      <w:pPr>
        <w:rPr>
          <w:rFonts w:ascii="Arial" w:hAnsi="Arial" w:cs="Arial"/>
          <w:b/>
          <w:lang w:val="en-GB"/>
        </w:rPr>
      </w:pPr>
      <w:r w:rsidRPr="0000660F">
        <w:rPr>
          <w:rFonts w:ascii="Arial" w:hAnsi="Arial" w:cs="Arial"/>
          <w:b/>
          <w:lang w:val="en-GB"/>
        </w:rPr>
        <w:t xml:space="preserve">Tender reference no: </w:t>
      </w:r>
      <w:r w:rsidRPr="00C203BD">
        <w:rPr>
          <w:rFonts w:ascii="Arial" w:hAnsi="Arial" w:cs="Arial"/>
          <w:b/>
          <w:highlight w:val="yellow"/>
          <w:lang w:val="en-GB"/>
        </w:rPr>
        <w:t>&lt;insert no&gt;</w:t>
      </w:r>
    </w:p>
    <w:p w:rsidR="0000660F" w:rsidRPr="0000660F" w:rsidRDefault="0000660F">
      <w:pPr>
        <w:rPr>
          <w:rFonts w:ascii="Arial" w:hAnsi="Arial" w:cs="Arial"/>
          <w:b/>
          <w:lang w:val="en-GB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1"/>
        <w:gridCol w:w="1247"/>
      </w:tblGrid>
      <w:tr w:rsidR="0000660F" w:rsidRPr="0000660F" w:rsidTr="00EF48E4">
        <w:tblPrEx>
          <w:tblCellMar>
            <w:top w:w="0" w:type="dxa"/>
            <w:bottom w:w="0" w:type="dxa"/>
          </w:tblCellMar>
        </w:tblPrEx>
        <w:tc>
          <w:tcPr>
            <w:tcW w:w="8051" w:type="dxa"/>
            <w:tcBorders>
              <w:top w:val="single" w:sz="4" w:space="0" w:color="auto"/>
            </w:tcBorders>
            <w:shd w:val="pct10" w:color="auto" w:fill="FFFFFF"/>
          </w:tcPr>
          <w:p w:rsidR="0000660F" w:rsidRPr="0000660F" w:rsidRDefault="0000660F" w:rsidP="005977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Preparatory session (just before the bid opening)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pct10" w:color="auto" w:fill="FFFFFF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  <w:tcBorders>
              <w:bottom w:val="nil"/>
            </w:tcBorders>
          </w:tcPr>
          <w:p w:rsidR="0000660F" w:rsidRDefault="00EF48E4" w:rsidP="00C41D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person responsible for the tender procedure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describes 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to the </w:t>
            </w:r>
            <w:r w:rsidR="005C2A89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rocurement </w:t>
            </w:r>
            <w:r w:rsidR="005C2A89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ommittee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>and observers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, if any,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scope of the proposed contract and summarises the essential features of the tender procedure to date, including the </w:t>
            </w:r>
            <w:r w:rsidR="00C203B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valuation </w:t>
            </w:r>
            <w:r w:rsidR="00C203BD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rid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A541F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:rsidR="00A541F4" w:rsidRDefault="00A541F4" w:rsidP="00A541F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541F4" w:rsidRPr="001517D8" w:rsidRDefault="00A541F4" w:rsidP="00A541F4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517D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It is important to stress to any observers present that the opening of the tender envelopes is purely to record the information listed in section 4 below.  There will be no screening, evaluation or discussions regarding the offers at this stage.  Screening and evaluation will be conducted by the Procurement Committee at a later stage.  </w:t>
            </w:r>
          </w:p>
        </w:tc>
        <w:tc>
          <w:tcPr>
            <w:tcW w:w="1247" w:type="dxa"/>
            <w:tcBorders>
              <w:bottom w:val="nil"/>
            </w:tcBorders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00660F" w:rsidP="000066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All tender envelopes should be numbered according to the order in which they have been received.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EF48E4" w:rsidP="00C41D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verifie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all </w:t>
            </w:r>
            <w:r w:rsidR="005D13BA">
              <w:rPr>
                <w:rFonts w:ascii="Arial" w:hAnsi="Arial" w:cs="Arial"/>
                <w:sz w:val="20"/>
                <w:szCs w:val="20"/>
                <w:lang w:val="en-GB"/>
              </w:rPr>
              <w:t xml:space="preserve">received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tender envelopes are available at the tender opening session.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660F" w:rsidRPr="0000660F" w:rsidRDefault="0000660F">
      <w:pPr>
        <w:rPr>
          <w:rFonts w:ascii="Arial" w:hAnsi="Arial" w:cs="Arial"/>
          <w:b/>
          <w:lang w:val="en-GB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1"/>
        <w:gridCol w:w="1247"/>
      </w:tblGrid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  <w:shd w:val="pct10" w:color="auto" w:fill="FFFFFF"/>
          </w:tcPr>
          <w:p w:rsidR="0000660F" w:rsidRPr="0000660F" w:rsidRDefault="0000660F" w:rsidP="005977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b/>
                <w:sz w:val="20"/>
                <w:szCs w:val="20"/>
                <w:lang w:val="en-GB"/>
              </w:rPr>
              <w:t>Tender opening session</w:t>
            </w:r>
          </w:p>
        </w:tc>
        <w:tc>
          <w:tcPr>
            <w:tcW w:w="1247" w:type="dxa"/>
            <w:shd w:val="pct10" w:color="auto" w:fill="FFFFFF"/>
          </w:tcPr>
          <w:p w:rsidR="0000660F" w:rsidRPr="0000660F" w:rsidRDefault="0000660F" w:rsidP="00597700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00660F" w:rsidP="00EF48E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tender envelopes are handed over to the </w:t>
            </w:r>
            <w:r w:rsidR="00EF48E4">
              <w:rPr>
                <w:rFonts w:ascii="Arial" w:hAnsi="Arial" w:cs="Arial"/>
                <w:sz w:val="20"/>
                <w:szCs w:val="20"/>
                <w:lang w:val="en-GB"/>
              </w:rPr>
              <w:t>person responsible for the tender opening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491373" w:rsidP="0049137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5D13BA" w:rsidRPr="0000660F">
              <w:rPr>
                <w:rFonts w:ascii="Arial" w:hAnsi="Arial" w:cs="Arial"/>
                <w:sz w:val="20"/>
                <w:szCs w:val="20"/>
                <w:lang w:val="en-GB"/>
              </w:rPr>
              <w:t>erif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that all tender envelopes are sealed and in good condition.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EF48E4" w:rsidP="00EF48E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he tender envelopes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are opened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in order of receipt. 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Only the envelopes received before the submission deadline should be opened. The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tender envelope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 are marked by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on the front page of each document.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Two authorised persons</w:t>
            </w:r>
            <w:r w:rsidR="00CF4626">
              <w:rPr>
                <w:rFonts w:ascii="Arial" w:hAnsi="Arial" w:cs="Arial"/>
                <w:sz w:val="20"/>
                <w:szCs w:val="20"/>
                <w:lang w:val="en-GB"/>
              </w:rPr>
              <w:t xml:space="preserve"> (often from the Procurement </w:t>
            </w:r>
            <w:r w:rsidR="00491373">
              <w:rPr>
                <w:rFonts w:ascii="Arial" w:hAnsi="Arial" w:cs="Arial"/>
                <w:sz w:val="20"/>
                <w:szCs w:val="20"/>
                <w:lang w:val="en-GB"/>
              </w:rPr>
              <w:t>Committee</w:t>
            </w:r>
            <w:r w:rsidR="00CF462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write their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initials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on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first page of all original documents and all pages of the original financial offer. 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00660F" w:rsidP="000066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For each tender envelope, the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 xml:space="preserve">authorised persons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announce</w:t>
            </w:r>
            <w:r w:rsidR="0049137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and check</w:t>
            </w:r>
            <w:r w:rsidR="0049137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summary of tenders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received correctly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contains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00660F" w:rsidRPr="0000660F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name of the </w:t>
            </w:r>
            <w:r w:rsidR="00C41D96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enderer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E83E43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the total price offered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E83E43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no. of lots offered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</w:p>
          <w:p w:rsidR="0000660F" w:rsidRPr="0000660F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the currency</w:t>
            </w:r>
          </w:p>
          <w:p w:rsidR="0000660F" w:rsidRPr="0000660F" w:rsidRDefault="0000660F" w:rsidP="0000660F">
            <w:pPr>
              <w:tabs>
                <w:tab w:val="left" w:pos="851"/>
              </w:tabs>
              <w:ind w:left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00660F" w:rsidP="00E83E4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members of the 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Procurement Committee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and any observers sign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eclarations of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mpartiality and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onfidentiality, if not already done.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:rsidTr="00597700">
        <w:tblPrEx>
          <w:tblCellMar>
            <w:top w:w="0" w:type="dxa"/>
            <w:bottom w:w="0" w:type="dxa"/>
          </w:tblCellMar>
        </w:tblPrEx>
        <w:tc>
          <w:tcPr>
            <w:tcW w:w="8051" w:type="dxa"/>
          </w:tcPr>
          <w:p w:rsidR="0000660F" w:rsidRPr="0000660F" w:rsidRDefault="0000660F" w:rsidP="000066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members of the 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Procurement Committee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who participated at the tender opening sign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the tender opening report.</w:t>
            </w:r>
          </w:p>
        </w:tc>
        <w:tc>
          <w:tcPr>
            <w:tcW w:w="1247" w:type="dxa"/>
          </w:tcPr>
          <w:p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660F" w:rsidRPr="0000660F" w:rsidRDefault="0000660F">
      <w:pPr>
        <w:rPr>
          <w:rFonts w:ascii="Arial" w:hAnsi="Arial" w:cs="Arial"/>
          <w:b/>
          <w:lang w:val="en-GB"/>
        </w:rPr>
      </w:pPr>
    </w:p>
    <w:sectPr w:rsidR="0000660F" w:rsidRPr="0000660F"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39" w:rsidRDefault="00691D39">
      <w:r>
        <w:separator/>
      </w:r>
    </w:p>
  </w:endnote>
  <w:endnote w:type="continuationSeparator" w:id="0">
    <w:p w:rsidR="00691D39" w:rsidRDefault="0069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E4" w:rsidRDefault="00EF48E4" w:rsidP="00597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8E4" w:rsidRDefault="00EF4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DA" w:rsidRDefault="009170DA" w:rsidP="009170DA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1517D8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1517D8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:rsidR="0058203F" w:rsidRDefault="0058203F" w:rsidP="00E66A9C">
    <w:pPr>
      <w:pStyle w:val="Footer"/>
      <w:jc w:val="right"/>
    </w:pPr>
  </w:p>
  <w:p w:rsidR="00EF48E4" w:rsidRPr="0000660F" w:rsidRDefault="00EF48E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39" w:rsidRDefault="00691D39">
      <w:r>
        <w:separator/>
      </w:r>
    </w:p>
  </w:footnote>
  <w:footnote w:type="continuationSeparator" w:id="0">
    <w:p w:rsidR="00691D39" w:rsidRDefault="0069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A5" w:rsidRPr="009C1375" w:rsidRDefault="003068A5" w:rsidP="003068A5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9C1375">
      <w:rPr>
        <w:rFonts w:ascii="Arial" w:hAnsi="Arial" w:cs="Arial"/>
        <w:sz w:val="20"/>
        <w:szCs w:val="20"/>
        <w:highlight w:val="yellow"/>
        <w:lang w:val="en-GB"/>
      </w:rPr>
      <w:t>&lt;Insert organisation logo&gt;</w:t>
    </w:r>
  </w:p>
  <w:p w:rsidR="00EF48E4" w:rsidRPr="003068A5" w:rsidRDefault="00EF48E4" w:rsidP="00A875C9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:rsidR="00EF48E4" w:rsidRDefault="00EF48E4" w:rsidP="00A875C9">
    <w:pPr>
      <w:pStyle w:val="Header"/>
      <w:jc w:val="right"/>
    </w:pPr>
  </w:p>
  <w:p w:rsidR="00EF48E4" w:rsidRDefault="00EF4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917"/>
    <w:multiLevelType w:val="hybridMultilevel"/>
    <w:tmpl w:val="496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67643"/>
    <w:multiLevelType w:val="singleLevel"/>
    <w:tmpl w:val="04060001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59F72AEF"/>
    <w:multiLevelType w:val="hybridMultilevel"/>
    <w:tmpl w:val="D4127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0F"/>
    <w:rsid w:val="0000660F"/>
    <w:rsid w:val="00006CB1"/>
    <w:rsid w:val="00073320"/>
    <w:rsid w:val="0008746C"/>
    <w:rsid w:val="00122212"/>
    <w:rsid w:val="001517D8"/>
    <w:rsid w:val="00184F61"/>
    <w:rsid w:val="00237DE9"/>
    <w:rsid w:val="0027125B"/>
    <w:rsid w:val="002B5B36"/>
    <w:rsid w:val="002F020E"/>
    <w:rsid w:val="002F6280"/>
    <w:rsid w:val="003068A5"/>
    <w:rsid w:val="00325F24"/>
    <w:rsid w:val="003833EA"/>
    <w:rsid w:val="00491373"/>
    <w:rsid w:val="00493695"/>
    <w:rsid w:val="004D14DC"/>
    <w:rsid w:val="00514839"/>
    <w:rsid w:val="00532C8E"/>
    <w:rsid w:val="00542C57"/>
    <w:rsid w:val="0058203F"/>
    <w:rsid w:val="00597700"/>
    <w:rsid w:val="005C2A89"/>
    <w:rsid w:val="005C2C78"/>
    <w:rsid w:val="005D13BA"/>
    <w:rsid w:val="00644B07"/>
    <w:rsid w:val="00691D39"/>
    <w:rsid w:val="00713014"/>
    <w:rsid w:val="007E74BB"/>
    <w:rsid w:val="007F0536"/>
    <w:rsid w:val="008172B5"/>
    <w:rsid w:val="008D3897"/>
    <w:rsid w:val="009170DA"/>
    <w:rsid w:val="009831B8"/>
    <w:rsid w:val="009D14FB"/>
    <w:rsid w:val="009D30AF"/>
    <w:rsid w:val="00A304BC"/>
    <w:rsid w:val="00A541F4"/>
    <w:rsid w:val="00A875C9"/>
    <w:rsid w:val="00AA2524"/>
    <w:rsid w:val="00B42A72"/>
    <w:rsid w:val="00BC41F1"/>
    <w:rsid w:val="00C16404"/>
    <w:rsid w:val="00C203BD"/>
    <w:rsid w:val="00C41D96"/>
    <w:rsid w:val="00C623F7"/>
    <w:rsid w:val="00CC38CF"/>
    <w:rsid w:val="00CF4626"/>
    <w:rsid w:val="00D43EEF"/>
    <w:rsid w:val="00DE0A7A"/>
    <w:rsid w:val="00E15615"/>
    <w:rsid w:val="00E54C5D"/>
    <w:rsid w:val="00E66A9C"/>
    <w:rsid w:val="00E83E43"/>
    <w:rsid w:val="00EF48E4"/>
    <w:rsid w:val="00F22547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8EAB86C-C08F-4BAA-840F-0515F142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0660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0660F"/>
  </w:style>
  <w:style w:type="paragraph" w:styleId="Header">
    <w:name w:val="header"/>
    <w:basedOn w:val="Normal"/>
    <w:link w:val="HeaderChar"/>
    <w:rsid w:val="0000660F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D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3B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203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3BD"/>
  </w:style>
  <w:style w:type="paragraph" w:styleId="CommentSubject">
    <w:name w:val="annotation subject"/>
    <w:basedOn w:val="CommentText"/>
    <w:next w:val="CommentText"/>
    <w:link w:val="CommentSubjectChar"/>
    <w:rsid w:val="00C203BD"/>
    <w:rPr>
      <w:b/>
      <w:bCs/>
    </w:rPr>
  </w:style>
  <w:style w:type="character" w:customStyle="1" w:styleId="CommentSubjectChar">
    <w:name w:val="Comment Subject Char"/>
    <w:link w:val="CommentSubject"/>
    <w:rsid w:val="00C203BD"/>
    <w:rPr>
      <w:b/>
      <w:bCs/>
    </w:rPr>
  </w:style>
  <w:style w:type="character" w:customStyle="1" w:styleId="FooterChar">
    <w:name w:val="Footer Char"/>
    <w:link w:val="Footer"/>
    <w:uiPriority w:val="99"/>
    <w:rsid w:val="0058203F"/>
    <w:rPr>
      <w:sz w:val="24"/>
      <w:szCs w:val="24"/>
    </w:rPr>
  </w:style>
  <w:style w:type="character" w:customStyle="1" w:styleId="HeaderChar">
    <w:name w:val="Header Char"/>
    <w:link w:val="Header"/>
    <w:rsid w:val="003068A5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EC00-F6E4-442A-96AC-AC9F322A7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9F29-6B34-4500-8C6E-DD228C0BEF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7507DE-A96C-4375-B3F0-C511E9C32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F3CFB-F8B5-4684-A133-7BD8660183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7AF630-4E0D-4E58-9F8D-C337B7FF657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d44a88-3d02-4645-84eb-7e8385246cec"/>
    <ds:schemaRef ds:uri="http://schemas.microsoft.com/sharepoint/v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F34ACC4-0DC2-4458-97C7-B1977887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B6963384</Template>
  <TotalTime>0</TotalTime>
  <Pages>1</Pages>
  <Words>311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A-6: Tender opening checklist</vt:lpstr>
      <vt:lpstr>Annex A-6: Tender opening checklist</vt:lpstr>
    </vt:vector>
  </TitlesOfParts>
  <Company>Folkekirkens Nødhjælp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A-6: Tender opening checklist</dc:title>
  <dc:subject/>
  <dc:creator>pool</dc:creator>
  <cp:keywords/>
  <cp:lastModifiedBy>Dave McEntee</cp:lastModifiedBy>
  <cp:revision>2</cp:revision>
  <dcterms:created xsi:type="dcterms:W3CDTF">2019-01-24T12:32:00Z</dcterms:created>
  <dcterms:modified xsi:type="dcterms:W3CDTF">2019-01-24T12:32:00Z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2669100.00000000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DCADOC-377-9434</vt:lpwstr>
  </property>
  <property fmtid="{D5CDD505-2E9C-101B-9397-08002B2CF9AE}" pid="9" name="_dlc_DocIdItemGuid">
    <vt:lpwstr>d3f14b98-6cb9-48bf-8161-90574940ff3d</vt:lpwstr>
  </property>
  <property fmtid="{D5CDD505-2E9C-101B-9397-08002B2CF9AE}" pid="10" name="_dlc_DocIdUrl">
    <vt:lpwstr>https://intra.dca.dk/Units/im/prolog/_layouts/DocIdRedir.aspx?ID=DCADOC-377-9434, DCADOC-377-9434</vt:lpwstr>
  </property>
  <property fmtid="{D5CDD505-2E9C-101B-9397-08002B2CF9AE}" pid="11" name="PortalKeyword">
    <vt:lpwstr/>
  </property>
</Properties>
</file>